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14A" w:rsidRDefault="00D6514A" w:rsidP="00D6514A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INSTYTUCJA: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-Bold" w:hAnsi="Calibri-Bold" w:cs="Calibri-Bold"/>
          <w:b/>
          <w:bCs/>
          <w:sz w:val="22"/>
          <w:szCs w:val="22"/>
        </w:rPr>
        <w:t>Instytut Biochemii i Biofizyki Polskiej Akademii Nauk</w:t>
      </w:r>
    </w:p>
    <w:p w:rsidR="00D6514A" w:rsidRDefault="00D6514A" w:rsidP="00D6514A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MIASTO: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-Bold" w:hAnsi="Calibri-Bold" w:cs="Calibri-Bold"/>
          <w:b/>
          <w:bCs/>
          <w:sz w:val="22"/>
          <w:szCs w:val="22"/>
        </w:rPr>
        <w:t>Warszawa</w:t>
      </w:r>
    </w:p>
    <w:p w:rsidR="00D6514A" w:rsidRDefault="00D6514A" w:rsidP="00D6514A">
      <w:pPr>
        <w:autoSpaceDE w:val="0"/>
        <w:autoSpaceDN w:val="0"/>
        <w:adjustRightInd w:val="0"/>
        <w:ind w:left="2836" w:hanging="283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STANOWISKO: </w:t>
      </w:r>
      <w:r>
        <w:rPr>
          <w:rFonts w:ascii="Calibri" w:hAnsi="Calibri" w:cs="Calibri"/>
          <w:sz w:val="22"/>
          <w:szCs w:val="22"/>
        </w:rPr>
        <w:tab/>
      </w:r>
      <w:r w:rsidR="00C1778B" w:rsidRPr="00C1778B">
        <w:rPr>
          <w:rFonts w:ascii="Calibri" w:hAnsi="Calibri" w:cs="Calibri"/>
          <w:b/>
          <w:bCs/>
          <w:sz w:val="22"/>
          <w:szCs w:val="22"/>
        </w:rPr>
        <w:t xml:space="preserve">Grupa techniczna i grupa operacyjna </w:t>
      </w:r>
      <w:r w:rsidR="00C1778B" w:rsidRPr="00C1778B">
        <w:rPr>
          <w:rFonts w:ascii="Calibri-Bold" w:hAnsi="Calibri-Bold" w:cs="Calibri-Bold"/>
          <w:b/>
          <w:bCs/>
          <w:sz w:val="22"/>
          <w:szCs w:val="22"/>
        </w:rPr>
        <w:t>50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Wyprawy do Polskiej Stacji Antarktycznej im. H. Arctowskiego </w:t>
      </w:r>
    </w:p>
    <w:p w:rsidR="00D6514A" w:rsidRDefault="00D6514A" w:rsidP="00D6514A">
      <w:pPr>
        <w:autoSpaceDE w:val="0"/>
        <w:autoSpaceDN w:val="0"/>
        <w:adjustRightInd w:val="0"/>
        <w:ind w:left="2836" w:hanging="2836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MIEJSCE PRACY: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-Bold" w:hAnsi="Calibri-Bold" w:cs="Calibri-Bold"/>
          <w:b/>
          <w:bCs/>
          <w:sz w:val="22"/>
          <w:szCs w:val="22"/>
        </w:rPr>
        <w:t>Polska Stacja Antarktyczna im. H. Arctowskiego, Wyspa Króla Jerzego, Szetlandy Południowe</w:t>
      </w:r>
    </w:p>
    <w:p w:rsidR="00D6514A" w:rsidRDefault="00D6514A" w:rsidP="00D6514A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OGŁOSZENIA: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1778B">
        <w:rPr>
          <w:rFonts w:ascii="Calibri-Bold" w:hAnsi="Calibri-Bold" w:cs="Calibri-Bold"/>
          <w:b/>
          <w:bCs/>
          <w:sz w:val="22"/>
          <w:szCs w:val="22"/>
        </w:rPr>
        <w:t>28</w:t>
      </w:r>
      <w:r w:rsidR="00BD147E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="00C1778B">
        <w:rPr>
          <w:rFonts w:ascii="Calibri-Bold" w:hAnsi="Calibri-Bold" w:cs="Calibri-Bold"/>
          <w:b/>
          <w:bCs/>
          <w:sz w:val="22"/>
          <w:szCs w:val="22"/>
        </w:rPr>
        <w:t>listopada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 202</w:t>
      </w:r>
      <w:r w:rsidR="00C1778B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 r.</w:t>
      </w:r>
    </w:p>
    <w:p w:rsidR="00D6514A" w:rsidRDefault="00D6514A" w:rsidP="00D6514A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SKŁADANIA OFERT: </w:t>
      </w:r>
      <w:r>
        <w:rPr>
          <w:rFonts w:ascii="Calibri" w:hAnsi="Calibri" w:cs="Calibri"/>
          <w:sz w:val="22"/>
          <w:szCs w:val="22"/>
        </w:rPr>
        <w:tab/>
      </w:r>
      <w:r w:rsidR="00C1778B">
        <w:rPr>
          <w:rFonts w:ascii="Calibri-Bold" w:hAnsi="Calibri-Bold" w:cs="Calibri-Bold"/>
          <w:b/>
          <w:bCs/>
          <w:sz w:val="22"/>
          <w:szCs w:val="22"/>
        </w:rPr>
        <w:t>rekrutacja otwarta</w:t>
      </w:r>
      <w:r w:rsidR="00F35E3D">
        <w:rPr>
          <w:rFonts w:ascii="Calibri-Bold" w:hAnsi="Calibri-Bold" w:cs="Calibri-Bold"/>
          <w:b/>
          <w:bCs/>
          <w:sz w:val="22"/>
          <w:szCs w:val="22"/>
        </w:rPr>
        <w:t xml:space="preserve"> długoterminowo</w:t>
      </w:r>
    </w:p>
    <w:p w:rsidR="00D6514A" w:rsidRDefault="00D6514A" w:rsidP="00D6514A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LINK DO STRONY: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hyperlink r:id="rId7" w:history="1">
        <w:r w:rsidRPr="0036164F">
          <w:rPr>
            <w:rStyle w:val="Hipercze"/>
            <w:rFonts w:ascii="Calibri-Bold" w:hAnsi="Calibri-Bold" w:cs="Calibri-Bold"/>
            <w:b/>
            <w:bCs/>
            <w:sz w:val="22"/>
            <w:szCs w:val="22"/>
          </w:rPr>
          <w:t>https://ibb.edu.pl/oferty-pracy/</w:t>
        </w:r>
      </w:hyperlink>
    </w:p>
    <w:p w:rsidR="00D6514A" w:rsidRDefault="00D6514A" w:rsidP="00D6514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OPIS:</w:t>
      </w:r>
    </w:p>
    <w:p w:rsidR="00D6514A" w:rsidRDefault="00D6514A" w:rsidP="00D6514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6514A" w:rsidRDefault="00D6514A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82C80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Prowadzimy nabór na stanowiska całoroczne i półroczne w grupie technicznej (pracującej przy inwestycji modernizacji infrastruktury </w:t>
      </w:r>
      <w:r w:rsidR="00F35E3D">
        <w:rPr>
          <w:rFonts w:ascii="Calibri" w:hAnsi="Calibri" w:cs="Calibri"/>
          <w:sz w:val="22"/>
          <w:szCs w:val="22"/>
        </w:rPr>
        <w:t>Polskiej Stacji Antarktycznej im. H. Arctowskiego</w:t>
      </w:r>
      <w:r>
        <w:rPr>
          <w:rFonts w:ascii="Calibri" w:hAnsi="Calibri" w:cs="Calibri"/>
          <w:sz w:val="22"/>
          <w:szCs w:val="22"/>
        </w:rPr>
        <w:t>) oraz grupie operacyjnej 50. Wyprawy Antarktycznej do Polskiej Stacji Antarktycznej im. H. Arctowskiego.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7C4B" w:rsidRP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6E7C4B">
        <w:rPr>
          <w:rFonts w:ascii="Calibri" w:hAnsi="Calibri" w:cs="Calibri"/>
          <w:b/>
          <w:bCs/>
          <w:sz w:val="22"/>
          <w:szCs w:val="22"/>
          <w:u w:val="single"/>
        </w:rPr>
        <w:t>Grupa techniczna: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monter instalacji elektrycznych,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monter instalacji</w:t>
      </w:r>
      <w:r>
        <w:rPr>
          <w:rFonts w:ascii="Calibri" w:hAnsi="Calibri" w:cs="Calibri"/>
          <w:sz w:val="22"/>
          <w:szCs w:val="22"/>
        </w:rPr>
        <w:t xml:space="preserve"> sanitarnych,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monter instalacji</w:t>
      </w:r>
      <w:r>
        <w:rPr>
          <w:rFonts w:ascii="Calibri" w:hAnsi="Calibri" w:cs="Calibri"/>
          <w:sz w:val="22"/>
          <w:szCs w:val="22"/>
        </w:rPr>
        <w:t xml:space="preserve"> wentylacyjnych,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monter instalacji</w:t>
      </w:r>
      <w:r>
        <w:rPr>
          <w:rFonts w:ascii="Calibri" w:hAnsi="Calibri" w:cs="Calibri"/>
          <w:sz w:val="22"/>
          <w:szCs w:val="22"/>
        </w:rPr>
        <w:t xml:space="preserve"> teletechnicznych,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monter konstrukcji,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operator maszyn / pracownik rozładunkowy,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operator sprzętu pływającego / sternik,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pracownik ogólnobudowlany.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7C4B" w:rsidRP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6E7C4B">
        <w:rPr>
          <w:rFonts w:ascii="Calibri" w:hAnsi="Calibri" w:cs="Calibri"/>
          <w:b/>
          <w:bCs/>
          <w:sz w:val="22"/>
          <w:szCs w:val="22"/>
          <w:u w:val="single"/>
        </w:rPr>
        <w:t>Grupa operacyjna: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obserwator ekologiczny,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obserwator ds. gatunków obcych i antropopresji,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energetyk / elektryk,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elektronik / opiekun sprzętu naukowego / asystent terenowy,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operator łodzi z silnikiem zaburtowym,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operator bezzałogowych statków powietrznych (UAV),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administrator systemów IT / informatyk,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mechanik maszyn budowlanych,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lekarz / ratownik medyczny / pielęgniarz,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kucharz,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pomoc kuchenna / administrator części socjalnej.</w:t>
      </w:r>
    </w:p>
    <w:p w:rsidR="006E7C4B" w:rsidRDefault="006E7C4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1778B" w:rsidRDefault="006E7C4B" w:rsidP="006E7C4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Szczegółowy opis stanowisk wraz z wymaganiami znajduje się na stronie</w:t>
      </w:r>
      <w:r w:rsidR="00486656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486656" w:rsidRPr="001869E6">
          <w:rPr>
            <w:rStyle w:val="Hipercze"/>
            <w:rFonts w:ascii="Calibri" w:hAnsi="Calibri" w:cs="Calibri"/>
            <w:sz w:val="22"/>
            <w:szCs w:val="22"/>
          </w:rPr>
          <w:t>www.arctowski.aq</w:t>
        </w:r>
      </w:hyperlink>
      <w:r w:rsidR="00486656">
        <w:rPr>
          <w:rFonts w:ascii="Calibri" w:hAnsi="Calibri" w:cs="Calibri"/>
          <w:sz w:val="22"/>
          <w:szCs w:val="22"/>
        </w:rPr>
        <w:t xml:space="preserve"> w zakładce Wyprawy &gt;&gt; Rekrutacja &gt;&gt; 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486656" w:rsidRPr="00F35E3D">
          <w:rPr>
            <w:rStyle w:val="Hipercze"/>
            <w:rFonts w:ascii="Calibri" w:hAnsi="Calibri" w:cs="Calibri"/>
            <w:sz w:val="22"/>
            <w:szCs w:val="22"/>
          </w:rPr>
          <w:t>https://formularz.arctowski.pl</w:t>
        </w:r>
      </w:hyperlink>
      <w:r w:rsidR="00486656" w:rsidRPr="00F35E3D">
        <w:rPr>
          <w:rStyle w:val="Hipercze"/>
          <w:rFonts w:ascii="Calibri" w:hAnsi="Calibri" w:cs="Calibri"/>
          <w:sz w:val="22"/>
          <w:szCs w:val="22"/>
        </w:rPr>
        <w:t>.</w:t>
      </w:r>
    </w:p>
    <w:p w:rsidR="00D6514A" w:rsidRDefault="00D6514A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6514A" w:rsidRDefault="00D6514A" w:rsidP="00D6514A">
      <w:pPr>
        <w:autoSpaceDE w:val="0"/>
        <w:autoSpaceDN w:val="0"/>
        <w:adjustRightInd w:val="0"/>
        <w:jc w:val="both"/>
      </w:pPr>
      <w:r>
        <w:rPr>
          <w:rFonts w:ascii="Calibri" w:hAnsi="Calibri" w:cs="Calibri"/>
          <w:sz w:val="22"/>
          <w:szCs w:val="22"/>
        </w:rPr>
        <w:t xml:space="preserve">Aplikacje należy składać </w:t>
      </w:r>
      <w:r w:rsidR="00486656">
        <w:rPr>
          <w:rFonts w:ascii="Calibri" w:hAnsi="Calibri" w:cs="Calibri"/>
          <w:sz w:val="22"/>
          <w:szCs w:val="22"/>
        </w:rPr>
        <w:t xml:space="preserve">tylko i wyłącznie </w:t>
      </w:r>
      <w:r w:rsidR="00C1778B">
        <w:rPr>
          <w:rFonts w:ascii="Calibri" w:hAnsi="Calibri" w:cs="Calibri"/>
          <w:sz w:val="22"/>
          <w:szCs w:val="22"/>
        </w:rPr>
        <w:t>za pośrednictwem formularza rekrutacyjnego</w:t>
      </w:r>
      <w:r>
        <w:rPr>
          <w:rFonts w:ascii="Calibri" w:hAnsi="Calibri" w:cs="Calibri"/>
          <w:sz w:val="22"/>
          <w:szCs w:val="22"/>
        </w:rPr>
        <w:t xml:space="preserve"> na </w:t>
      </w:r>
      <w:r w:rsidR="00C1778B">
        <w:rPr>
          <w:rFonts w:ascii="Calibri" w:hAnsi="Calibri" w:cs="Calibri"/>
          <w:sz w:val="22"/>
          <w:szCs w:val="22"/>
        </w:rPr>
        <w:t>stronie</w:t>
      </w:r>
      <w:r>
        <w:rPr>
          <w:rFonts w:ascii="Calibri" w:hAnsi="Calibri" w:cs="Calibri"/>
          <w:sz w:val="22"/>
          <w:szCs w:val="22"/>
        </w:rPr>
        <w:t>:</w:t>
      </w:r>
      <w:r w:rsidR="00C1778B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C1778B" w:rsidRPr="00F35E3D">
          <w:rPr>
            <w:rStyle w:val="Hipercze"/>
            <w:rFonts w:ascii="Calibri" w:hAnsi="Calibri" w:cs="Calibri"/>
            <w:sz w:val="22"/>
            <w:szCs w:val="22"/>
          </w:rPr>
          <w:t>https://formularz.arctowski.pl</w:t>
        </w:r>
      </w:hyperlink>
      <w:r w:rsidR="00486656" w:rsidRPr="00F35E3D">
        <w:rPr>
          <w:rStyle w:val="Hipercze"/>
          <w:rFonts w:ascii="Calibri" w:hAnsi="Calibri" w:cs="Calibri"/>
          <w:sz w:val="22"/>
          <w:szCs w:val="22"/>
        </w:rPr>
        <w:t>.</w:t>
      </w:r>
    </w:p>
    <w:p w:rsidR="00D80646" w:rsidRDefault="00D80646" w:rsidP="00D6514A">
      <w:pPr>
        <w:autoSpaceDE w:val="0"/>
        <w:autoSpaceDN w:val="0"/>
        <w:adjustRightInd w:val="0"/>
        <w:jc w:val="both"/>
        <w:rPr>
          <w:rStyle w:val="Hipercze"/>
          <w:rFonts w:ascii="Calibri" w:hAnsi="Calibri" w:cs="Calibri"/>
          <w:b/>
          <w:sz w:val="22"/>
          <w:szCs w:val="22"/>
        </w:rPr>
      </w:pPr>
    </w:p>
    <w:p w:rsidR="00F35E3D" w:rsidRDefault="00F35E3D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35E3D">
        <w:rPr>
          <w:rFonts w:ascii="Calibri" w:hAnsi="Calibri" w:cs="Calibri"/>
          <w:sz w:val="22"/>
          <w:szCs w:val="22"/>
        </w:rPr>
        <w:t>Zapraszamy do aplikowania!</w:t>
      </w:r>
    </w:p>
    <w:p w:rsidR="00F35E3D" w:rsidRPr="00F35E3D" w:rsidRDefault="00F35E3D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80646" w:rsidRPr="00354D34" w:rsidRDefault="00D80646" w:rsidP="00D80646">
      <w:pPr>
        <w:rPr>
          <w:rFonts w:ascii="Calibri" w:hAnsi="Calibri" w:cs="Calibri"/>
          <w:sz w:val="20"/>
          <w:szCs w:val="20"/>
        </w:rPr>
      </w:pPr>
      <w:r w:rsidRPr="00354D34">
        <w:rPr>
          <w:rFonts w:ascii="Calibri" w:hAnsi="Calibri" w:cs="Calibri"/>
          <w:sz w:val="20"/>
          <w:szCs w:val="20"/>
        </w:rPr>
        <w:lastRenderedPageBreak/>
        <w:t>Klauzula informacyjna dla Pracownika.</w:t>
      </w:r>
    </w:p>
    <w:p w:rsidR="00D80646" w:rsidRPr="00354D34" w:rsidRDefault="00D80646" w:rsidP="00D80646">
      <w:pPr>
        <w:rPr>
          <w:rFonts w:cs="Calibri"/>
          <w:b/>
          <w:sz w:val="16"/>
          <w:szCs w:val="16"/>
        </w:rPr>
      </w:pPr>
    </w:p>
    <w:p w:rsidR="00D80646" w:rsidRPr="00354D34" w:rsidRDefault="00D80646" w:rsidP="00D80646">
      <w:pPr>
        <w:jc w:val="both"/>
        <w:rPr>
          <w:rFonts w:cs="Calibri"/>
          <w:sz w:val="16"/>
          <w:szCs w:val="16"/>
        </w:rPr>
      </w:pPr>
      <w:r w:rsidRPr="00354D34">
        <w:rPr>
          <w:rFonts w:cs="Calibri"/>
          <w:b/>
          <w:sz w:val="16"/>
          <w:szCs w:val="16"/>
        </w:rPr>
        <w:t>Realizując obowiązek nałożony przez art. 13 rozporządzenia Parlamentu Europejskiego i Rady (UE) 2016/679 z dnia 27 kwietnia 2016 r. w sprawie ochrony osób fizycznych w związku z przetwarzaniem danych osobowych i w sprawie swobodnego przepływu takich danych oraz uchylenia dyrektywy 95/46/WE (dalej: „</w:t>
      </w:r>
      <w:proofErr w:type="gramStart"/>
      <w:r w:rsidRPr="00354D34">
        <w:rPr>
          <w:rFonts w:cs="Calibri"/>
          <w:b/>
          <w:sz w:val="16"/>
          <w:szCs w:val="16"/>
        </w:rPr>
        <w:t>RODO“</w:t>
      </w:r>
      <w:proofErr w:type="gramEnd"/>
      <w:r w:rsidRPr="00354D34">
        <w:rPr>
          <w:rFonts w:cs="Calibri"/>
          <w:b/>
          <w:sz w:val="16"/>
          <w:szCs w:val="16"/>
        </w:rPr>
        <w:t>), w załączeniu przekazujemy informacje dotyczące przetwarzanych przez nas danych osobowych.</w:t>
      </w:r>
    </w:p>
    <w:tbl>
      <w:tblPr>
        <w:tblpPr w:leftFromText="141" w:rightFromText="141" w:vertAnchor="text" w:tblpY="1"/>
        <w:tblOverlap w:val="never"/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4"/>
        <w:gridCol w:w="10"/>
        <w:gridCol w:w="2484"/>
        <w:gridCol w:w="10"/>
        <w:gridCol w:w="2363"/>
        <w:gridCol w:w="19"/>
        <w:gridCol w:w="2361"/>
      </w:tblGrid>
      <w:tr w:rsidR="00D80646" w:rsidRPr="00D80646" w:rsidTr="00D80646">
        <w:tc>
          <w:tcPr>
            <w:tcW w:w="21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ADMINISTRATOR DANYCH OSOBOWYCH</w:t>
            </w:r>
          </w:p>
        </w:tc>
        <w:tc>
          <w:tcPr>
            <w:tcW w:w="7247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Administratorem Państwa danych osobowych jest Instytut Biochemii i Biofizyki Polskiej Akademii Nauk z siedziba w Warszawie przy ul. Pawińskiego 5a (02-106 Warszawa), wpisany do rejestru instytutów Polskiej Akademii Nauk pod numerem RIN-II-46/98, o numerze NIP: 526-10-39-742, o numerze REGON: 000325819.</w:t>
            </w:r>
          </w:p>
          <w:p w:rsidR="00D80646" w:rsidRPr="00D80646" w:rsidRDefault="00D80646" w:rsidP="000C761F">
            <w:pPr>
              <w:spacing w:beforeLines="60" w:before="144" w:afterLines="60" w:after="14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Kontakt z Administratorem jest możliwy pod numerem telefonu 22 592 11 08 oraz adresem e-mail secretariate@ibb.waw.pl.</w:t>
            </w:r>
          </w:p>
        </w:tc>
      </w:tr>
      <w:tr w:rsidR="00D80646" w:rsidRPr="00D80646" w:rsidTr="00D80646">
        <w:tc>
          <w:tcPr>
            <w:tcW w:w="2154" w:type="dxa"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INSPEKTOR OCHRONY DANYCH</w:t>
            </w:r>
          </w:p>
        </w:tc>
        <w:tc>
          <w:tcPr>
            <w:tcW w:w="724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Administrator powołał Inspektora Ochrony Danych. Kontakt z Inspektorem jest możliwy pod adresem iodo@ibb.waw.pl.</w:t>
            </w:r>
          </w:p>
        </w:tc>
      </w:tr>
      <w:tr w:rsidR="00D80646" w:rsidRPr="00D80646" w:rsidTr="00D80646">
        <w:tc>
          <w:tcPr>
            <w:tcW w:w="215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PRZETWARZANIE</w:t>
            </w: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br/>
              <w:t>DANYCH OSOBOWYCH</w:t>
            </w:r>
          </w:p>
        </w:tc>
        <w:tc>
          <w:tcPr>
            <w:tcW w:w="250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Cele przetwarzania</w:t>
            </w:r>
          </w:p>
        </w:tc>
        <w:tc>
          <w:tcPr>
            <w:tcW w:w="23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Podstawa prawna</w:t>
            </w:r>
          </w:p>
        </w:tc>
        <w:tc>
          <w:tcPr>
            <w:tcW w:w="2361" w:type="dxa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Okres przetwarzania</w:t>
            </w:r>
          </w:p>
        </w:tc>
      </w:tr>
      <w:tr w:rsidR="00D80646" w:rsidRPr="00D80646" w:rsidTr="00D80646">
        <w:tc>
          <w:tcPr>
            <w:tcW w:w="215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  <w:tc>
          <w:tcPr>
            <w:tcW w:w="250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Realizacja praw i obowiązków pracowniczych w ramach stosunku pracy wynikających z zawartej umowy o pracę.</w:t>
            </w:r>
          </w:p>
        </w:tc>
        <w:tc>
          <w:tcPr>
            <w:tcW w:w="23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Art. 6 ust. 1 lit. b) RODO (przetwarzanie jest niezbędne do wykonania umowy, której stroną jest osoba, której dane dotyczą, lub do podjęcia działań na żądanie osoby, której dane dotyczą, przed zawarciem umowy)</w:t>
            </w:r>
          </w:p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Art. 9 ust. 2 lit. b) RODO (wykonywanie obowiązków w dziedzinie prawa pracy, zabezpieczenia społecznego i ochrony socjalnej)</w:t>
            </w:r>
          </w:p>
        </w:tc>
        <w:tc>
          <w:tcPr>
            <w:tcW w:w="2361" w:type="dxa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Dokumentacja pracownicza zawarta w aktach osobowych tj. okres zatrudnienia i wynagrodzenia oraz inne </w:t>
            </w:r>
            <w:proofErr w:type="gramStart"/>
            <w:r w:rsidRPr="00D80646">
              <w:rPr>
                <w:rFonts w:ascii="Calibri" w:eastAsia="Calibri" w:hAnsi="Calibri" w:cs="Calibri"/>
                <w:sz w:val="14"/>
                <w:szCs w:val="14"/>
              </w:rPr>
              <w:t>dokumenty</w:t>
            </w:r>
            <w:proofErr w:type="gramEnd"/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na podstawie których następuje udzielenie wymiaru emerytury lub renty przechowuje się przez 10 lat od zakończenia stosunku pracy.</w:t>
            </w:r>
          </w:p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Pozostałe dane osobowe przetwarzane są przez okres 5 lat od końca </w:t>
            </w:r>
            <w:proofErr w:type="gramStart"/>
            <w:r w:rsidRPr="00D80646">
              <w:rPr>
                <w:rFonts w:ascii="Calibri" w:eastAsia="Calibri" w:hAnsi="Calibri" w:cs="Calibri"/>
                <w:sz w:val="14"/>
                <w:szCs w:val="14"/>
              </w:rPr>
              <w:t>roku</w:t>
            </w:r>
            <w:proofErr w:type="gramEnd"/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w którym wystąpił obowiązek podatkowy.</w:t>
            </w:r>
          </w:p>
        </w:tc>
      </w:tr>
      <w:tr w:rsidR="00D80646" w:rsidRPr="00D80646" w:rsidTr="00D80646">
        <w:tc>
          <w:tcPr>
            <w:tcW w:w="215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  <w:tc>
          <w:tcPr>
            <w:tcW w:w="250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Wypełniania obowiązków prawnych ciążących na Administratorze w związku z zatrudnianiem pracowników, w szczególności na podstawie przepisów prawa pracy, księgowych i podatkowych oraz bezpieczeństwa i higieny pracy.</w:t>
            </w:r>
          </w:p>
        </w:tc>
        <w:tc>
          <w:tcPr>
            <w:tcW w:w="23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Art. 6 ust. 1 lit. c) RODO (przetwarzanie jest niezbędne do wypełnienia obowiązku prawnego ciążącego na administratorze)</w:t>
            </w:r>
          </w:p>
        </w:tc>
        <w:tc>
          <w:tcPr>
            <w:tcW w:w="2361" w:type="dxa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5 lat od końca </w:t>
            </w:r>
            <w:proofErr w:type="gramStart"/>
            <w:r w:rsidRPr="00D80646">
              <w:rPr>
                <w:rFonts w:ascii="Calibri" w:eastAsia="Calibri" w:hAnsi="Calibri" w:cs="Calibri"/>
                <w:sz w:val="14"/>
                <w:szCs w:val="14"/>
              </w:rPr>
              <w:t>roku</w:t>
            </w:r>
            <w:proofErr w:type="gramEnd"/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w którym wystąpił obowiązek podatkowy.</w:t>
            </w:r>
          </w:p>
        </w:tc>
      </w:tr>
      <w:tr w:rsidR="00D80646" w:rsidRPr="00D80646" w:rsidTr="00D80646">
        <w:tc>
          <w:tcPr>
            <w:tcW w:w="215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  <w:tc>
          <w:tcPr>
            <w:tcW w:w="250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Umożliwienie realizacji zawartej umowy o pracę, w tym zapewnienie transportu pracownika na Stację Antarktyczną im H. Arctowskiego na Wyspie Króla Jerzego, Szetlandy Południowe.</w:t>
            </w:r>
          </w:p>
        </w:tc>
        <w:tc>
          <w:tcPr>
            <w:tcW w:w="23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Art. 6 ust. 1 lit. b) RODO (przetwarzanie jest niezbędne do wykonania umowy, której stroną jest osoba, której dane dotyczą, lub do podjęcia działań na żądanie osoby, której dane dotyczą, przed zawarciem umowy)</w:t>
            </w:r>
          </w:p>
        </w:tc>
        <w:tc>
          <w:tcPr>
            <w:tcW w:w="2361" w:type="dxa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Dane osobowe przetwarzane są przez okres 5 lat od końca </w:t>
            </w:r>
            <w:proofErr w:type="gramStart"/>
            <w:r w:rsidRPr="00D80646">
              <w:rPr>
                <w:rFonts w:ascii="Calibri" w:eastAsia="Calibri" w:hAnsi="Calibri" w:cs="Calibri"/>
                <w:sz w:val="14"/>
                <w:szCs w:val="14"/>
              </w:rPr>
              <w:t>roku</w:t>
            </w:r>
            <w:proofErr w:type="gramEnd"/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w którym wystąpił obowiązek podatkowy.</w:t>
            </w:r>
          </w:p>
        </w:tc>
      </w:tr>
      <w:tr w:rsidR="00D80646" w:rsidRPr="00D80646" w:rsidTr="00D80646">
        <w:tc>
          <w:tcPr>
            <w:tcW w:w="215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  <w:tc>
          <w:tcPr>
            <w:tcW w:w="250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Profilaktyka zdrowotna i medycyna pracy, ocena zdolności pracownika do pracy i zapewnienie opieki zdrowotnej lub zabezpieczenia społecznego.</w:t>
            </w:r>
          </w:p>
        </w:tc>
        <w:tc>
          <w:tcPr>
            <w:tcW w:w="23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Art. 9 ust. 2 lit. h) RODO</w:t>
            </w:r>
            <w:r w:rsidRPr="00D80646">
              <w:rPr>
                <w:rFonts w:ascii="Calibri" w:eastAsia="Calibri" w:hAnsi="Calibri" w:cs="Calibri"/>
                <w:sz w:val="14"/>
                <w:szCs w:val="14"/>
              </w:rPr>
              <w:br/>
              <w:t>(przetwarzanie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 i z zastrzeżeniem warunków i zabezpieczeń)</w:t>
            </w:r>
          </w:p>
        </w:tc>
        <w:tc>
          <w:tcPr>
            <w:tcW w:w="2361" w:type="dxa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Dokumentacja pracownicza zawarta w aktach osobowych tj. okres zatrudnienia i wynagrodzenia oraz inne </w:t>
            </w:r>
            <w:proofErr w:type="gramStart"/>
            <w:r w:rsidRPr="00D80646">
              <w:rPr>
                <w:rFonts w:ascii="Calibri" w:eastAsia="Calibri" w:hAnsi="Calibri" w:cs="Calibri"/>
                <w:sz w:val="14"/>
                <w:szCs w:val="14"/>
              </w:rPr>
              <w:t>dokumenty</w:t>
            </w:r>
            <w:proofErr w:type="gramEnd"/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na podstawie których następuje udzielenie wymiaru emerytury lub renty przechowuje się przez 10 lat od zakończenia stosunku pracy.</w:t>
            </w:r>
          </w:p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Pozostałe dane osobowe przetwarzane są przez okres 5 lat od końca </w:t>
            </w:r>
            <w:proofErr w:type="gramStart"/>
            <w:r w:rsidRPr="00D80646">
              <w:rPr>
                <w:rFonts w:ascii="Calibri" w:eastAsia="Calibri" w:hAnsi="Calibri" w:cs="Calibri"/>
                <w:sz w:val="14"/>
                <w:szCs w:val="14"/>
              </w:rPr>
              <w:t>roku</w:t>
            </w:r>
            <w:proofErr w:type="gramEnd"/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w którym wystąpił obowiązek podatkowy.</w:t>
            </w:r>
          </w:p>
        </w:tc>
      </w:tr>
      <w:tr w:rsidR="00D80646" w:rsidRPr="00D80646" w:rsidTr="00D80646">
        <w:tc>
          <w:tcPr>
            <w:tcW w:w="216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sz w:val="14"/>
                <w:szCs w:val="14"/>
              </w:rPr>
              <w:br w:type="page"/>
            </w:r>
          </w:p>
        </w:tc>
        <w:tc>
          <w:tcPr>
            <w:tcW w:w="2484" w:type="dxa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Dochodzenie i obrona przez roszczeniami.</w:t>
            </w:r>
          </w:p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3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Art. 6 ust. 1 lit. f) RODO (przetwarzanie jest niezbędne do celów wynikających z prawnie uzasadnionych interesów realizowanych przez administratora lub przez stronę trzecią, z wyjątkiem </w:t>
            </w:r>
            <w:r w:rsidRPr="00D80646">
              <w:rPr>
                <w:rFonts w:ascii="Calibri" w:eastAsia="Calibri" w:hAnsi="Calibri" w:cs="Calibri"/>
                <w:sz w:val="14"/>
                <w:szCs w:val="14"/>
              </w:rPr>
              <w:lastRenderedPageBreak/>
              <w:t xml:space="preserve">sytuacji, w których nadrzędny charakter wobec tych interesów mają interesy lub podstawowe prawa i wolności osoby, której dane dotyczą, wymagające ochrony danych osobowych, w </w:t>
            </w:r>
            <w:proofErr w:type="gramStart"/>
            <w:r w:rsidRPr="00D80646">
              <w:rPr>
                <w:rFonts w:ascii="Calibri" w:eastAsia="Calibri" w:hAnsi="Calibri" w:cs="Calibri"/>
                <w:sz w:val="14"/>
                <w:szCs w:val="14"/>
              </w:rPr>
              <w:t>szczególności</w:t>
            </w:r>
            <w:proofErr w:type="gramEnd"/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gdy osoba, której dane dotyczą, jest dzieckiem)</w:t>
            </w:r>
          </w:p>
        </w:tc>
        <w:tc>
          <w:tcPr>
            <w:tcW w:w="23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lastRenderedPageBreak/>
              <w:t>Okres dochodzenia roszczeń, nie dłużej niż do momentu ich przedawnienia.</w:t>
            </w:r>
          </w:p>
        </w:tc>
      </w:tr>
      <w:tr w:rsidR="00D80646" w:rsidRPr="00D80646" w:rsidTr="00D80646">
        <w:tc>
          <w:tcPr>
            <w:tcW w:w="216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KATEGORIE ODBIORCÓW DANYCH</w:t>
            </w:r>
          </w:p>
        </w:tc>
        <w:tc>
          <w:tcPr>
            <w:tcW w:w="72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50" w:before="120" w:afterLines="50" w:after="120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Odbiorcami danych osobowych mogą być: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9"/>
              </w:numPr>
              <w:spacing w:beforeLines="50" w:before="120" w:afterLines="50" w:after="120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pracownicy Administratora - w celu wykonywania czynności związanych z wykonaniem umowy o pracę;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9"/>
              </w:numPr>
              <w:spacing w:beforeLines="50" w:before="120" w:afterLines="50" w:after="120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podmioty, z którymi Administrator ma zawartą umowę współpracy w celu wykonania umowy o pracę, w szczególności podmioty świadczące usługi księgowe, prawne, usługi pocztowe i kurierskie, informatyczne;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9"/>
              </w:numPr>
              <w:spacing w:beforeLines="50" w:before="120" w:afterLines="50" w:after="120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organom upoważnionym ich otrzymywania na podstawie obowiązujących przepisów prawa, w szczególności sądom, organom podatkowym, organom ścigania;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9"/>
              </w:numPr>
              <w:spacing w:beforeLines="50" w:before="120" w:afterLines="50" w:after="120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współpracujące z Administratorem podmioty lecznicze;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9"/>
              </w:numPr>
              <w:spacing w:beforeLines="50" w:before="120" w:afterLines="50" w:after="12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podmioty obsługujące transport i wyprawę na Stację Antarktyczną im H. Arctowskiego na Wyspie Króla Jerzego, Szetlandy Południowe, w tym w szczególności podmioty pośredniczące i wystawiające przepustkę na wstęp do portu w Polsce, w Argentynie, w Chile, na Falklandach, podmioty pośredniczące i świadczące transport statkiem wyprawowym, organizujące transport na/z statku lub lot na/z Wyspy King George (w tym transport lotniczy, transporty lokalne i noclegi) oraz organizujące transport z Ameryki Południowej (Chile, Argentyn, Brazylia) na Wyspę King George (lotniczy i morski).</w:t>
            </w:r>
          </w:p>
        </w:tc>
      </w:tr>
      <w:tr w:rsidR="00D80646" w:rsidRPr="00D80646" w:rsidTr="00D80646">
        <w:trPr>
          <w:trHeight w:val="529"/>
        </w:trPr>
        <w:tc>
          <w:tcPr>
            <w:tcW w:w="216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PRZEKAZYWANIE DANYCH</w:t>
            </w:r>
          </w:p>
        </w:tc>
        <w:tc>
          <w:tcPr>
            <w:tcW w:w="72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50" w:before="120" w:afterLines="50" w:after="12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Niektóre dane osobowe (tj. imię i nazwisko i numer paszportu) są przekazywane poza granice Rzeczpospolitej Polskiej, w zakresie niezbędnym do zorganizowania wyprawy na Stację Antarktyczną im H. Arctowskiego na Wyspie Króla Jerzego, Szetlandy Południowe.</w:t>
            </w:r>
          </w:p>
          <w:p w:rsidR="00D80646" w:rsidRPr="00D80646" w:rsidRDefault="00D80646" w:rsidP="000C761F">
            <w:pPr>
              <w:spacing w:beforeLines="50" w:before="120" w:afterLines="50" w:after="12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Na dzień zawarcia umowy o pracę Komisja Europejska nie przyjęła decyzji stwierdzającej odpowiedni stopień ochrony określonej w art. 45 ust. 3 RODO lub braku odpowiednich zabezpieczeń określonych w art. 46 RODO, w tym wiążących reguł korporacyjnych.</w:t>
            </w:r>
          </w:p>
          <w:p w:rsidR="00D80646" w:rsidRPr="00D80646" w:rsidRDefault="00D80646" w:rsidP="000C761F">
            <w:pPr>
              <w:spacing w:beforeLines="50" w:before="120" w:afterLines="50" w:after="12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Mając na uwadze powyższe jednorazowe przekazanie niezbędnych danych osobowych do państwa trzeciego nastąpiło na mocy art. 49 ust. 1 lit b) RODO tj. przekazanie jest niezbędne do wykonania umowy między osobą, której dane dotyczą, a administratorem lub do wprowadzenia w życie środków </w:t>
            </w:r>
            <w:proofErr w:type="spellStart"/>
            <w:r w:rsidRPr="00D80646">
              <w:rPr>
                <w:rFonts w:ascii="Calibri" w:eastAsia="Calibri" w:hAnsi="Calibri" w:cs="Calibri"/>
                <w:sz w:val="14"/>
                <w:szCs w:val="14"/>
              </w:rPr>
              <w:t>przedumownych</w:t>
            </w:r>
            <w:proofErr w:type="spellEnd"/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podejmowanych na żądanie osoby, której dane dotyczą.</w:t>
            </w:r>
          </w:p>
        </w:tc>
      </w:tr>
      <w:tr w:rsidR="00D80646" w:rsidRPr="00D80646" w:rsidTr="00D80646">
        <w:tc>
          <w:tcPr>
            <w:tcW w:w="216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PAŃSTWA PRAWA</w:t>
            </w:r>
          </w:p>
        </w:tc>
        <w:tc>
          <w:tcPr>
            <w:tcW w:w="72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50" w:before="120" w:afterLines="50" w:after="120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Przysługuje Państwu prawo do: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0"/>
              </w:numPr>
              <w:spacing w:beforeLines="50" w:before="120" w:afterLines="50" w:after="120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żądania dostępu do danych osobowych (art. 15 RODO) – prawo do uzyskania od Administratora potwierdzenia, czy przetwarzane są Państwa dane osobowe, a jeśli ma to miejsce - do uzyskania dostępu do nich. Administrator dostarczy Państwu na żądanie kopię danych osobowych podlegających przetwarzaniu. Za wszelkie kolejne kopie, o które zwrócą się Państwo, Administratora może pobrać opłatę w rozsądnej wysokości wynikającej z kosztów administracyjnych;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0"/>
              </w:numPr>
              <w:spacing w:beforeLines="50" w:before="120" w:afterLines="50" w:after="120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sprostowania danych osobowych (art. 16 RODO) – z uwzględnieniem celu przetwarzania przysługuje Państwu prawo do niezwłocznego sprostowania Państwa danych osobowych, które są nieprawidłowe oraz do żądania uzupełnienia niekompletnych danych osobowych.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0"/>
              </w:numPr>
              <w:spacing w:beforeLines="50" w:before="120" w:afterLines="50" w:after="120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 xml:space="preserve">usunięcia danych osobowych ("prawo do bycia zapomnianym") (art. 17 RODO) - prawo żądania do niezwłocznego usunięcia Państwa danych osobowych. W tej sytuacji Administrator ma obowiązek usunąć Państwa dane osobowe pod warunkiem, że jest spełniona jedna z następujących przesłanek: (i) dane osobowe nie są już niezbędne do celów, dla których zostały zebrane, (ii) cofnięto zgodę, na której opiera się przetwarzanie i Administrator nie ma innej podstawy prawnej przetwarzania, (iii) dane osobowe były przetwarzane niezgodnie z prawem, (iv) dane osobowe muszą zostać usunięte w celu wywiązania się z obowiązku prawnego. Nie jest możliwa realizacja prawa do usunięcia danych osobowych, w </w:t>
            </w:r>
            <w:proofErr w:type="gramStart"/>
            <w:r w:rsidRPr="00D80646">
              <w:rPr>
                <w:rFonts w:eastAsia="Calibri" w:cs="Calibri"/>
                <w:sz w:val="14"/>
                <w:szCs w:val="14"/>
              </w:rPr>
              <w:t>przypadku</w:t>
            </w:r>
            <w:proofErr w:type="gramEnd"/>
            <w:r w:rsidRPr="00D80646">
              <w:rPr>
                <w:rFonts w:eastAsia="Calibri" w:cs="Calibri"/>
                <w:sz w:val="14"/>
                <w:szCs w:val="14"/>
              </w:rPr>
              <w:t xml:space="preserve"> gdy Administrator jest zobowiązany na podstawie przepisów prawa do dalszego przetwarzania danych osobowych w zakresie określonym przez odpowiednie przepisy prawa lub w celach niezbędnych do ustalenia, dochodzenia lub obrony roszczeń.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0"/>
              </w:numPr>
              <w:spacing w:beforeLines="60" w:before="144" w:afterLines="60" w:after="144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ograniczenia przetwarzania danych osobowych (art. 18 RODO) – prawo do żądania od Administratora ograniczenia przetwarzania danych osobowych w następujących przypadkach, gdy: (i) kwestionują Państwo prawidłowość danych osobowych przetwarzanych przez administratora, (ii) przetwarzanie Państwa danych osobowych jest niezgodne z prawem, a sprzeciwiono się usunięciu swoich danych osobowych, (iii) Administrator nie potrzebuje już Państwa danych osobowych, ale są one potrzebne do ustalenia, dochodzenia lub obrony roszczeń. W przypadku realizacji prawa do ograniczenia przetwarzania danych osobowych, Administrator może przetwarzać Państwa dane osobowe, z wyjątkiem ich przechowywania, wyłącznie za Państwa zgodą lub w celu ustalenia, dochodzenia lub obrony roszczeń lub w celu ochrony praw innej osoby fizycznej lub prawnej lub z uwagi na ważne względy interesu publicznego.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0"/>
              </w:numPr>
              <w:spacing w:beforeLines="60" w:before="144" w:afterLines="60" w:after="144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 xml:space="preserve">przenoszenia danych osobowych - pod pewnymi warunkami (art. 21 RODO) - prawo do otrzymania w ustrukturyzowanym, powszechnie używanym formacie, nadającym się do odczytu maszynowego Państwa dane osobowe, przetwarzane przez Administratora oraz do przesłania ich innemu podmiotowi. Prawo to </w:t>
            </w:r>
            <w:proofErr w:type="gramStart"/>
            <w:r w:rsidRPr="00D80646">
              <w:rPr>
                <w:rFonts w:eastAsia="Calibri" w:cs="Calibri"/>
                <w:sz w:val="14"/>
                <w:szCs w:val="14"/>
              </w:rPr>
              <w:t>przysługuje</w:t>
            </w:r>
            <w:proofErr w:type="gramEnd"/>
            <w:r w:rsidRPr="00D80646">
              <w:rPr>
                <w:rFonts w:eastAsia="Calibri" w:cs="Calibri"/>
                <w:sz w:val="14"/>
                <w:szCs w:val="14"/>
              </w:rPr>
              <w:t xml:space="preserve"> jeśli dane przetwarzane są na podstawie zgody lub w związku z umową.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0"/>
              </w:numPr>
              <w:spacing w:beforeLines="60" w:before="144" w:afterLines="60" w:after="144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 xml:space="preserve">sprzeciwu (art. 20 RODO) - prawo do wniesienia sprzeciwu wobec przetwarzania danych opartego na prawnie uzasadnionym interesie Administratora (tj. na podstawie art. 6 ust. 1 lit. f) RODO). W takiej sytuacji Administrator nie </w:t>
            </w:r>
            <w:r w:rsidRPr="00D80646">
              <w:rPr>
                <w:rFonts w:eastAsia="Calibri" w:cs="Calibri"/>
                <w:sz w:val="14"/>
                <w:szCs w:val="14"/>
              </w:rPr>
              <w:lastRenderedPageBreak/>
              <w:t>będzie mógł dalej przetwarzać danych w tych celach, chyba że istnieją ważne prawnie uzasadnione podstawy lub dane potrzebne są do dochodzenia roszczeń. Prawo do zgłoszenia sprzeciwu wobec przetwarzania danych nie przysługuje w przypadku, gdy: (i) przetwarzanie danych osobowych odbywa się na podstawie zgody – w takiej sytuacji można natomiast wycofać zgodę, (ii) przetwarzanie danych jest niezbędne do wykonania umowy, której jesteście Państwo stroną, (iii) przetwarzanie jest niezbędne do wypełnienia przez Administratora obowiązku prawnego.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0"/>
              </w:numPr>
              <w:spacing w:beforeLines="60" w:before="144" w:afterLines="60" w:after="144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wniesienia skargi do organu nadzorczego zajmującego się ochroną danych osobowych w przypadku uznania, że przetwarzanie danych osobowych narusza przepisy RODO.</w:t>
            </w:r>
          </w:p>
        </w:tc>
      </w:tr>
      <w:tr w:rsidR="00D80646" w:rsidRPr="00D80646" w:rsidTr="00D80646">
        <w:tc>
          <w:tcPr>
            <w:tcW w:w="216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lastRenderedPageBreak/>
              <w:t>KATEGORIE DANYCH</w:t>
            </w:r>
          </w:p>
        </w:tc>
        <w:tc>
          <w:tcPr>
            <w:tcW w:w="72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Przetwarzamy dane osobowe określone w przepisach prawa powszechnie obowiązującego, w tym w szczególności przepisów prawa pracy, które są niezbędne do realizacji celów wskazanych powyżej w tym szczególności: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1"/>
              </w:numPr>
              <w:spacing w:beforeLines="60" w:before="144" w:afterLines="60" w:after="144" w:line="276" w:lineRule="auto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dane mające na celu potwierdzenie tożsamości takie jak imię i nazwisko, numer PESEL lub numer i serie dokumentu tożsamości, datę urodzenia, numer paszportu;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1"/>
              </w:numPr>
              <w:spacing w:beforeLines="60" w:before="144" w:afterLines="60" w:after="144" w:line="276" w:lineRule="auto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dane kontaktowe, takie jak: numer telefonu, adres email, adres zamieszkania;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1"/>
              </w:numPr>
              <w:spacing w:beforeLines="60" w:before="144" w:afterLines="60" w:after="144" w:line="276" w:lineRule="auto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dane identyfikacji podatkowej;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1"/>
              </w:numPr>
              <w:spacing w:beforeLines="60" w:before="144" w:afterLines="60" w:after="144" w:line="276" w:lineRule="auto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dane dotyczące wykształcenia oraz doświadczenia zawodowego;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1"/>
              </w:numPr>
              <w:spacing w:beforeLines="60" w:before="144" w:afterLines="60" w:after="144" w:line="276" w:lineRule="auto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dane dotyczące sytuacji majątkowej, finansowej i rodzinnej - jeśli jest to konieczne z punktu widzenia przyznawanych przez Administratora świadczeń socjalnych.</w:t>
            </w:r>
          </w:p>
          <w:p w:rsidR="00D80646" w:rsidRPr="00D80646" w:rsidRDefault="00D80646" w:rsidP="000C761F">
            <w:pPr>
              <w:spacing w:beforeLines="60" w:before="144" w:afterLines="60" w:after="14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Ponadto Administrator może przetwarzać inne kategorie danych osobowych, w szczególności podane w kwestionariuszu osobowym, o ile nie można zakwalifikować tych danych do żadnej ze wskazanych grup, a przetwarzanie jest dokonywane w celach określonych niniejszą informacją.</w:t>
            </w:r>
          </w:p>
        </w:tc>
      </w:tr>
      <w:tr w:rsidR="00D80646" w:rsidRPr="00D80646" w:rsidTr="00D80646">
        <w:trPr>
          <w:trHeight w:val="918"/>
        </w:trPr>
        <w:tc>
          <w:tcPr>
            <w:tcW w:w="216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INFORMACJA DODATKOWE</w:t>
            </w:r>
          </w:p>
        </w:tc>
        <w:tc>
          <w:tcPr>
            <w:tcW w:w="7237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Podanie danych osobowych było dobrowolne, ale konieczne do zawiązania i realizacji umowy o pracę i celów określonych powyżej. </w:t>
            </w:r>
          </w:p>
          <w:p w:rsidR="00D80646" w:rsidRPr="00D80646" w:rsidRDefault="00D80646" w:rsidP="000C761F">
            <w:pPr>
              <w:spacing w:beforeLines="60" w:before="144" w:afterLines="60" w:after="144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Dane osobowe nie będą wykorzystywane do podejmowania zautomatyzowanych decyzji, nie będą wykorzystywane w celu profilowania.</w:t>
            </w:r>
          </w:p>
        </w:tc>
      </w:tr>
    </w:tbl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D80646" w:rsidRPr="009D564A" w:rsidTr="000C761F">
        <w:trPr>
          <w:jc w:val="center"/>
        </w:trPr>
        <w:tc>
          <w:tcPr>
            <w:tcW w:w="5267" w:type="dxa"/>
            <w:hideMark/>
          </w:tcPr>
          <w:p w:rsidR="00D80646" w:rsidRPr="009D564A" w:rsidRDefault="00D80646" w:rsidP="000C761F">
            <w:pPr>
              <w:tabs>
                <w:tab w:val="left" w:pos="1185"/>
              </w:tabs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9D564A">
              <w:rPr>
                <w:rFonts w:cs="Calibri"/>
                <w:sz w:val="20"/>
                <w:szCs w:val="20"/>
              </w:rPr>
              <w:t>___________________________</w:t>
            </w:r>
          </w:p>
        </w:tc>
        <w:tc>
          <w:tcPr>
            <w:tcW w:w="5267" w:type="dxa"/>
            <w:hideMark/>
          </w:tcPr>
          <w:p w:rsidR="00D80646" w:rsidRPr="009D564A" w:rsidRDefault="00D80646" w:rsidP="000C761F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9D564A">
              <w:rPr>
                <w:rFonts w:cs="Calibri"/>
                <w:sz w:val="20"/>
                <w:szCs w:val="20"/>
              </w:rPr>
              <w:t>___________________________</w:t>
            </w:r>
          </w:p>
        </w:tc>
      </w:tr>
      <w:tr w:rsidR="00D80646" w:rsidRPr="009D564A" w:rsidTr="000C761F">
        <w:trPr>
          <w:jc w:val="center"/>
        </w:trPr>
        <w:tc>
          <w:tcPr>
            <w:tcW w:w="5267" w:type="dxa"/>
            <w:hideMark/>
          </w:tcPr>
          <w:p w:rsidR="00D80646" w:rsidRPr="009D564A" w:rsidRDefault="00D80646" w:rsidP="000C761F">
            <w:pPr>
              <w:tabs>
                <w:tab w:val="left" w:pos="1695"/>
              </w:tabs>
              <w:spacing w:after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Miejscowość</w:t>
            </w:r>
            <w:r w:rsidRPr="009D564A"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data</w:t>
            </w:r>
          </w:p>
        </w:tc>
        <w:tc>
          <w:tcPr>
            <w:tcW w:w="5267" w:type="dxa"/>
            <w:hideMark/>
          </w:tcPr>
          <w:p w:rsidR="00D80646" w:rsidRPr="009D564A" w:rsidRDefault="00D80646" w:rsidP="000C761F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9D564A">
              <w:rPr>
                <w:rFonts w:cs="Calibri"/>
                <w:sz w:val="20"/>
                <w:szCs w:val="20"/>
              </w:rPr>
              <w:t>Podpis Pracownika</w:t>
            </w:r>
          </w:p>
        </w:tc>
      </w:tr>
    </w:tbl>
    <w:p w:rsidR="00DB1B88" w:rsidRPr="00D80646" w:rsidRDefault="00DB1B88" w:rsidP="00D80646"/>
    <w:sectPr w:rsidR="00DB1B88" w:rsidRPr="00D80646" w:rsidSect="00F13C1E">
      <w:headerReference w:type="default" r:id="rId11"/>
      <w:footerReference w:type="default" r:id="rId12"/>
      <w:pgSz w:w="11906" w:h="16838"/>
      <w:pgMar w:top="851" w:right="1134" w:bottom="170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60DA" w:rsidRDefault="001560DA" w:rsidP="00946211">
      <w:r>
        <w:separator/>
      </w:r>
    </w:p>
  </w:endnote>
  <w:endnote w:type="continuationSeparator" w:id="0">
    <w:p w:rsidR="001560DA" w:rsidRDefault="001560DA" w:rsidP="0094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3969"/>
      <w:gridCol w:w="1406"/>
    </w:tblGrid>
    <w:tr w:rsidR="00941FEA" w:rsidRPr="009B5119" w:rsidTr="00EB6F99">
      <w:tc>
        <w:tcPr>
          <w:tcW w:w="4253" w:type="dxa"/>
        </w:tcPr>
        <w:p w:rsidR="00941FEA" w:rsidRPr="009B5119" w:rsidRDefault="00941FEA" w:rsidP="009B5119">
          <w:pPr>
            <w:pStyle w:val="Stopka"/>
            <w:rPr>
              <w:rFonts w:ascii="Lato" w:hAnsi="Lato"/>
              <w:color w:val="6C6D73"/>
              <w:sz w:val="16"/>
            </w:rPr>
          </w:pPr>
          <w:r w:rsidRPr="009B5119">
            <w:rPr>
              <w:rFonts w:ascii="Lato" w:hAnsi="Lato"/>
              <w:color w:val="6C6D73"/>
              <w:sz w:val="16"/>
            </w:rPr>
            <w:t xml:space="preserve">INSTYTUT BIOCHEMII I BIOFIZYKI </w:t>
          </w:r>
        </w:p>
        <w:p w:rsidR="00941FEA" w:rsidRPr="009B5119" w:rsidRDefault="00941FEA" w:rsidP="009B5119">
          <w:pPr>
            <w:pStyle w:val="Stopka"/>
            <w:rPr>
              <w:rFonts w:ascii="Lato" w:hAnsi="Lato"/>
              <w:color w:val="6C6D73"/>
              <w:sz w:val="16"/>
            </w:rPr>
          </w:pPr>
          <w:r w:rsidRPr="009B5119">
            <w:rPr>
              <w:rFonts w:ascii="Lato" w:hAnsi="Lato"/>
              <w:color w:val="6C6D73"/>
              <w:sz w:val="16"/>
            </w:rPr>
            <w:t xml:space="preserve">POLSKIEJ AKADEMII NAUK </w:t>
          </w:r>
        </w:p>
        <w:p w:rsidR="00941FEA" w:rsidRPr="009B5119" w:rsidRDefault="00941FEA" w:rsidP="009B5119">
          <w:pPr>
            <w:pStyle w:val="Stopka"/>
            <w:rPr>
              <w:color w:val="6C6D73"/>
            </w:rPr>
          </w:pPr>
          <w:r w:rsidRPr="009B5119">
            <w:rPr>
              <w:rFonts w:ascii="Lato" w:hAnsi="Lato"/>
              <w:color w:val="6C6D73"/>
              <w:sz w:val="16"/>
            </w:rPr>
            <w:t>ul. Pawińskiego 5A, 02-106 Warszawa, Polska</w:t>
          </w:r>
        </w:p>
      </w:tc>
      <w:tc>
        <w:tcPr>
          <w:tcW w:w="3969" w:type="dxa"/>
          <w:tcBorders>
            <w:right w:val="double" w:sz="12" w:space="0" w:color="45A349"/>
          </w:tcBorders>
        </w:tcPr>
        <w:p w:rsidR="00941FEA" w:rsidRPr="00E73822" w:rsidRDefault="00000000" w:rsidP="009B5119">
          <w:pPr>
            <w:pStyle w:val="Stopka"/>
            <w:rPr>
              <w:color w:val="6C6D73"/>
              <w:sz w:val="16"/>
            </w:rPr>
          </w:pPr>
          <w:hyperlink r:id="rId1" w:history="1">
            <w:r w:rsidR="004924D1" w:rsidRPr="00A8423F">
              <w:rPr>
                <w:rStyle w:val="Hipercze"/>
                <w:sz w:val="16"/>
              </w:rPr>
              <w:t>www.ibb.edu.pl</w:t>
            </w:r>
          </w:hyperlink>
          <w:r w:rsidR="00EB3D46" w:rsidRPr="00E73822">
            <w:rPr>
              <w:color w:val="6C6D73"/>
              <w:sz w:val="16"/>
            </w:rPr>
            <w:t xml:space="preserve">    </w:t>
          </w:r>
          <w:hyperlink r:id="rId2" w:history="1">
            <w:r w:rsidR="004924D1" w:rsidRPr="00A8423F">
              <w:rPr>
                <w:rStyle w:val="Hipercze"/>
                <w:sz w:val="16"/>
              </w:rPr>
              <w:t>secretariate@ibb.waw.pl</w:t>
            </w:r>
          </w:hyperlink>
        </w:p>
        <w:p w:rsidR="00941FEA" w:rsidRPr="009B5119" w:rsidRDefault="00941FEA" w:rsidP="009B5119">
          <w:pPr>
            <w:pStyle w:val="Stopka"/>
            <w:rPr>
              <w:color w:val="6C6D73"/>
              <w:sz w:val="16"/>
              <w:lang w:val="en-US"/>
            </w:rPr>
          </w:pPr>
          <w:r w:rsidRPr="009B5119">
            <w:rPr>
              <w:color w:val="6C6D73"/>
              <w:sz w:val="16"/>
              <w:lang w:val="en-US"/>
            </w:rPr>
            <w:t xml:space="preserve">Tel.: +48 22 592 21 45, </w:t>
          </w:r>
          <w:proofErr w:type="spellStart"/>
          <w:r w:rsidRPr="009B5119">
            <w:rPr>
              <w:color w:val="6C6D73"/>
              <w:sz w:val="16"/>
              <w:lang w:val="en-US"/>
            </w:rPr>
            <w:t>Faks</w:t>
          </w:r>
          <w:proofErr w:type="spellEnd"/>
          <w:r w:rsidRPr="009B5119">
            <w:rPr>
              <w:color w:val="6C6D73"/>
              <w:sz w:val="16"/>
              <w:lang w:val="en-US"/>
            </w:rPr>
            <w:t>: +48 22 592 21 90</w:t>
          </w:r>
        </w:p>
        <w:p w:rsidR="00941FEA" w:rsidRPr="009B5119" w:rsidRDefault="00941FEA" w:rsidP="009B5119">
          <w:pPr>
            <w:pStyle w:val="Stopka"/>
            <w:rPr>
              <w:color w:val="6C6D73"/>
            </w:rPr>
          </w:pPr>
          <w:r w:rsidRPr="009B5119">
            <w:rPr>
              <w:color w:val="6C6D73"/>
              <w:sz w:val="16"/>
            </w:rPr>
            <w:t>NIP: 5261039742, REGON: 000325819</w:t>
          </w:r>
        </w:p>
      </w:tc>
      <w:tc>
        <w:tcPr>
          <w:tcW w:w="1406" w:type="dxa"/>
          <w:tcBorders>
            <w:left w:val="double" w:sz="12" w:space="0" w:color="45A349"/>
          </w:tcBorders>
        </w:tcPr>
        <w:p w:rsidR="00941FEA" w:rsidRPr="001D0FAB" w:rsidRDefault="00E004B2">
          <w:pPr>
            <w:rPr>
              <w:rFonts w:ascii="Lato" w:hAnsi="Lato"/>
              <w:color w:val="6C6D73"/>
            </w:rPr>
          </w:pPr>
          <w:r w:rsidRPr="001D0FAB">
            <w:rPr>
              <w:rFonts w:ascii="Lato" w:hAnsi="Lato"/>
              <w:color w:val="6C6D73"/>
              <w:sz w:val="20"/>
            </w:rPr>
            <w:t xml:space="preserve">Strona </w:t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fldChar w:fldCharType="begin"/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instrText>PAGE  \* Arabic  \* MERGEFORMAT</w:instrText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fldChar w:fldCharType="separate"/>
          </w:r>
          <w:r w:rsidR="003B4CB0">
            <w:rPr>
              <w:rFonts w:ascii="Lato" w:hAnsi="Lato"/>
              <w:b/>
              <w:bCs/>
              <w:noProof/>
              <w:color w:val="6C6D73"/>
              <w:sz w:val="20"/>
            </w:rPr>
            <w:t>4</w:t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fldChar w:fldCharType="end"/>
          </w:r>
          <w:r w:rsidRPr="001D0FAB">
            <w:rPr>
              <w:rFonts w:ascii="Lato" w:hAnsi="Lato"/>
              <w:color w:val="6C6D73"/>
              <w:sz w:val="20"/>
            </w:rPr>
            <w:t xml:space="preserve"> z </w:t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fldChar w:fldCharType="begin"/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instrText>NUMPAGES  \* Arabic  \* MERGEFORMAT</w:instrText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fldChar w:fldCharType="separate"/>
          </w:r>
          <w:r w:rsidR="003B4CB0">
            <w:rPr>
              <w:rFonts w:ascii="Lato" w:hAnsi="Lato"/>
              <w:b/>
              <w:bCs/>
              <w:noProof/>
              <w:color w:val="6C6D73"/>
              <w:sz w:val="20"/>
            </w:rPr>
            <w:t>4</w:t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fldChar w:fldCharType="end"/>
          </w:r>
        </w:p>
        <w:p w:rsidR="00941FEA" w:rsidRPr="009B5119" w:rsidRDefault="00941FEA" w:rsidP="009B5119">
          <w:pPr>
            <w:pStyle w:val="Stopka"/>
            <w:rPr>
              <w:color w:val="6C6D73"/>
            </w:rPr>
          </w:pPr>
        </w:p>
      </w:tc>
    </w:tr>
  </w:tbl>
  <w:p w:rsidR="009B5119" w:rsidRDefault="009B5119">
    <w:pPr>
      <w:pStyle w:val="Stopka"/>
    </w:pPr>
  </w:p>
  <w:p w:rsidR="009B5119" w:rsidRDefault="009B5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60DA" w:rsidRDefault="001560DA" w:rsidP="00946211">
      <w:r>
        <w:separator/>
      </w:r>
    </w:p>
  </w:footnote>
  <w:footnote w:type="continuationSeparator" w:id="0">
    <w:p w:rsidR="001560DA" w:rsidRDefault="001560DA" w:rsidP="0094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A82" w:rsidRDefault="00F15A82">
    <w:pPr>
      <w:pStyle w:val="Nagwek"/>
    </w:pPr>
    <w:r>
      <w:rPr>
        <w:noProof/>
      </w:rPr>
      <w:drawing>
        <wp:inline distT="0" distB="0" distL="0" distR="0" wp14:anchorId="0F5BEC68" wp14:editId="5488FCCA">
          <wp:extent cx="4796010" cy="1101687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B_LOGO__pl color PRIMARY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010" cy="110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717F"/>
    <w:multiLevelType w:val="hybridMultilevel"/>
    <w:tmpl w:val="28E2C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F25"/>
    <w:multiLevelType w:val="hybridMultilevel"/>
    <w:tmpl w:val="E924A3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13379"/>
    <w:multiLevelType w:val="hybridMultilevel"/>
    <w:tmpl w:val="8B8036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F7767"/>
    <w:multiLevelType w:val="multilevel"/>
    <w:tmpl w:val="0F92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0672DE"/>
    <w:multiLevelType w:val="hybridMultilevel"/>
    <w:tmpl w:val="CA4C3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D65E3"/>
    <w:multiLevelType w:val="hybridMultilevel"/>
    <w:tmpl w:val="EC007EDA"/>
    <w:lvl w:ilvl="0" w:tplc="58D45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C5253"/>
    <w:multiLevelType w:val="multilevel"/>
    <w:tmpl w:val="1AC4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AE753C"/>
    <w:multiLevelType w:val="hybridMultilevel"/>
    <w:tmpl w:val="99107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779A0"/>
    <w:multiLevelType w:val="hybridMultilevel"/>
    <w:tmpl w:val="8964623A"/>
    <w:lvl w:ilvl="0" w:tplc="58D45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F479B"/>
    <w:multiLevelType w:val="hybridMultilevel"/>
    <w:tmpl w:val="916ECD60"/>
    <w:lvl w:ilvl="0" w:tplc="58D45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D5210"/>
    <w:multiLevelType w:val="hybridMultilevel"/>
    <w:tmpl w:val="C80E3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5142"/>
    <w:multiLevelType w:val="hybridMultilevel"/>
    <w:tmpl w:val="4F9A3DC4"/>
    <w:lvl w:ilvl="0" w:tplc="58D45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65EAF"/>
    <w:multiLevelType w:val="hybridMultilevel"/>
    <w:tmpl w:val="52BEDDAA"/>
    <w:lvl w:ilvl="0" w:tplc="58D45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94BBE"/>
    <w:multiLevelType w:val="hybridMultilevel"/>
    <w:tmpl w:val="93187A2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7FB57B5"/>
    <w:multiLevelType w:val="hybridMultilevel"/>
    <w:tmpl w:val="BB985F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9735BA"/>
    <w:multiLevelType w:val="hybridMultilevel"/>
    <w:tmpl w:val="8CF64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79535">
    <w:abstractNumId w:val="13"/>
  </w:num>
  <w:num w:numId="2" w16cid:durableId="1593658100">
    <w:abstractNumId w:val="15"/>
  </w:num>
  <w:num w:numId="3" w16cid:durableId="1176194717">
    <w:abstractNumId w:val="0"/>
  </w:num>
  <w:num w:numId="4" w16cid:durableId="1641377624">
    <w:abstractNumId w:val="7"/>
  </w:num>
  <w:num w:numId="5" w16cid:durableId="720832365">
    <w:abstractNumId w:val="10"/>
  </w:num>
  <w:num w:numId="6" w16cid:durableId="1519849444">
    <w:abstractNumId w:val="4"/>
  </w:num>
  <w:num w:numId="7" w16cid:durableId="334839984">
    <w:abstractNumId w:val="3"/>
  </w:num>
  <w:num w:numId="8" w16cid:durableId="1778482985">
    <w:abstractNumId w:val="6"/>
  </w:num>
  <w:num w:numId="9" w16cid:durableId="1425764094">
    <w:abstractNumId w:val="1"/>
  </w:num>
  <w:num w:numId="10" w16cid:durableId="1251505408">
    <w:abstractNumId w:val="2"/>
  </w:num>
  <w:num w:numId="11" w16cid:durableId="1830946943">
    <w:abstractNumId w:val="14"/>
  </w:num>
  <w:num w:numId="12" w16cid:durableId="1133602362">
    <w:abstractNumId w:val="8"/>
  </w:num>
  <w:num w:numId="13" w16cid:durableId="1170682227">
    <w:abstractNumId w:val="9"/>
  </w:num>
  <w:num w:numId="14" w16cid:durableId="173038907">
    <w:abstractNumId w:val="11"/>
  </w:num>
  <w:num w:numId="15" w16cid:durableId="1982539468">
    <w:abstractNumId w:val="5"/>
  </w:num>
  <w:num w:numId="16" w16cid:durableId="10704261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4A"/>
    <w:rsid w:val="00042D94"/>
    <w:rsid w:val="00096721"/>
    <w:rsid w:val="000A101D"/>
    <w:rsid w:val="00150B63"/>
    <w:rsid w:val="001560DA"/>
    <w:rsid w:val="001966C9"/>
    <w:rsid w:val="001D0FAB"/>
    <w:rsid w:val="001D46FC"/>
    <w:rsid w:val="001E5E4A"/>
    <w:rsid w:val="00202E97"/>
    <w:rsid w:val="0021094D"/>
    <w:rsid w:val="002950B6"/>
    <w:rsid w:val="003B4CB0"/>
    <w:rsid w:val="003B7FD5"/>
    <w:rsid w:val="003D3930"/>
    <w:rsid w:val="003D5FD2"/>
    <w:rsid w:val="0040597F"/>
    <w:rsid w:val="004256D9"/>
    <w:rsid w:val="00440ED2"/>
    <w:rsid w:val="00486656"/>
    <w:rsid w:val="004924D1"/>
    <w:rsid w:val="004A01FF"/>
    <w:rsid w:val="004B2DEA"/>
    <w:rsid w:val="004E5738"/>
    <w:rsid w:val="004F004B"/>
    <w:rsid w:val="0054274F"/>
    <w:rsid w:val="005E13C4"/>
    <w:rsid w:val="006A7F2F"/>
    <w:rsid w:val="006B11AF"/>
    <w:rsid w:val="006D5F7F"/>
    <w:rsid w:val="006E7C4B"/>
    <w:rsid w:val="00782C80"/>
    <w:rsid w:val="0078508E"/>
    <w:rsid w:val="008B4C6F"/>
    <w:rsid w:val="00930951"/>
    <w:rsid w:val="00931156"/>
    <w:rsid w:val="00941FEA"/>
    <w:rsid w:val="00946211"/>
    <w:rsid w:val="00967543"/>
    <w:rsid w:val="0098091F"/>
    <w:rsid w:val="009B5119"/>
    <w:rsid w:val="00A25061"/>
    <w:rsid w:val="00A42445"/>
    <w:rsid w:val="00A953B0"/>
    <w:rsid w:val="00AD7A46"/>
    <w:rsid w:val="00B85199"/>
    <w:rsid w:val="00BB08BE"/>
    <w:rsid w:val="00BC1811"/>
    <w:rsid w:val="00BD147E"/>
    <w:rsid w:val="00C1778B"/>
    <w:rsid w:val="00C20667"/>
    <w:rsid w:val="00C65061"/>
    <w:rsid w:val="00C9110B"/>
    <w:rsid w:val="00C9615B"/>
    <w:rsid w:val="00CA21CB"/>
    <w:rsid w:val="00CA50C4"/>
    <w:rsid w:val="00D6514A"/>
    <w:rsid w:val="00D65B99"/>
    <w:rsid w:val="00D80646"/>
    <w:rsid w:val="00DB1B88"/>
    <w:rsid w:val="00E004B2"/>
    <w:rsid w:val="00E37A50"/>
    <w:rsid w:val="00E71C2A"/>
    <w:rsid w:val="00E73822"/>
    <w:rsid w:val="00E8186B"/>
    <w:rsid w:val="00EB3D46"/>
    <w:rsid w:val="00EB6F99"/>
    <w:rsid w:val="00ED6BE8"/>
    <w:rsid w:val="00F02241"/>
    <w:rsid w:val="00F13C1E"/>
    <w:rsid w:val="00F15A82"/>
    <w:rsid w:val="00F24EB6"/>
    <w:rsid w:val="00F35E3D"/>
    <w:rsid w:val="00F464DD"/>
    <w:rsid w:val="00F66C62"/>
    <w:rsid w:val="00FB3BA4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E0E40"/>
  <w15:docId w15:val="{ECD4975B-AFD0-4CA9-B6B6-FF37AB57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961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211"/>
  </w:style>
  <w:style w:type="paragraph" w:styleId="Stopka">
    <w:name w:val="footer"/>
    <w:basedOn w:val="Normalny"/>
    <w:link w:val="StopkaZnak"/>
    <w:uiPriority w:val="99"/>
    <w:unhideWhenUsed/>
    <w:rsid w:val="00946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211"/>
  </w:style>
  <w:style w:type="table" w:styleId="Tabela-Siatka">
    <w:name w:val="Table Grid"/>
    <w:basedOn w:val="Standardowy"/>
    <w:uiPriority w:val="39"/>
    <w:rsid w:val="009B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41FE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F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F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F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F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0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8519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93115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61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D6514A"/>
  </w:style>
  <w:style w:type="character" w:styleId="Nierozpoznanawzmianka">
    <w:name w:val="Unresolved Mention"/>
    <w:basedOn w:val="Domylnaczcionkaakapitu"/>
    <w:uiPriority w:val="99"/>
    <w:semiHidden/>
    <w:unhideWhenUsed/>
    <w:rsid w:val="00C1778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17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towski.a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bb.edu.pl/oferty-prac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ularz.arcto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ularz.arctows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e@ibb.waw.pl" TargetMode="External"/><Relationship Id="rId1" Type="http://schemas.openxmlformats.org/officeDocument/2006/relationships/hyperlink" Target="http://www.ib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a\Dropbox\dlt_kopia\pisma\NOWY%20PAPIER-PO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C:\Users\Dagmara\Dropbox\dlt_kopia\pisma\NOWY PAPIER-POL.dotx</Template>
  <TotalTime>2</TotalTime>
  <Pages>4</Pages>
  <Words>1931</Words>
  <Characters>11587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IBB PAN</Company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BALOO</dc:creator>
  <cp:lastModifiedBy>Microsoft Office User</cp:lastModifiedBy>
  <cp:revision>2</cp:revision>
  <cp:lastPrinted>2023-06-06T11:27:00Z</cp:lastPrinted>
  <dcterms:created xsi:type="dcterms:W3CDTF">2024-11-28T10:10:00Z</dcterms:created>
  <dcterms:modified xsi:type="dcterms:W3CDTF">2024-11-28T10:10:00Z</dcterms:modified>
</cp:coreProperties>
</file>