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2004AB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2004AB" w:rsidRPr="002004AB">
        <w:rPr>
          <w:rFonts w:eastAsia="Times New Roman" w:cs="Calibri"/>
          <w:sz w:val="20"/>
          <w:szCs w:val="20"/>
          <w:lang w:eastAsia="pl-PL"/>
        </w:rPr>
        <w:t>dostawa aparatury naukowej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2004AB">
        <w:rPr>
          <w:rFonts w:cs="Calibri"/>
          <w:sz w:val="20"/>
          <w:szCs w:val="20"/>
        </w:rPr>
        <w:t xml:space="preserve">14 kwietnia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2004AB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Nazwa i model urządzenia: 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819"/>
        <w:gridCol w:w="4111"/>
      </w:tblGrid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9" w:type="dxa"/>
            <w:vAlign w:val="center"/>
          </w:tcPr>
          <w:p w:rsidR="00AE2426" w:rsidRPr="00A13243" w:rsidRDefault="00AE2426" w:rsidP="002004A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26">
              <w:rPr>
                <w:rFonts w:cs="Calibri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Pr="002004AB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Automatyczny system </w:t>
            </w:r>
            <w:proofErr w:type="gram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do  syntezy</w:t>
            </w:r>
            <w:proofErr w:type="gram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na stałym nośniku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Możliwość prowadzenia syntez peptydów w skali co najmniej </w:t>
            </w:r>
            <w:proofErr w:type="gram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od 0,025  do</w:t>
            </w:r>
            <w:proofErr w:type="gram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Możliwość rozbudowy o stosowania naczyń reakcyjnych o pojemności od 10 do 125ml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Bezpośrednia kontrola temperatury za pomocą sondy światłowodowej umieszczonej w reaktorze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proofErr w:type="gram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pracy z co</w:t>
            </w:r>
            <w:proofErr w:type="gram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najmniej 27 aminokwasami/reagentami podłączonymi do systemu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Możliwość korzystania z pojemników na aminokwasy/reagenty o </w:t>
            </w:r>
            <w:proofErr w:type="gram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pojemności co</w:t>
            </w:r>
            <w:proofErr w:type="gram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najmniej 110ml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Dostarczanie aminokwasów i reagentów za pomocą obojętnego gazu oraz systemu zaworów umożliwiającego precyzyjną kontrolę dozowanej objętości 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Wykorzystywanie obojętnego gazu do procesu mieszania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wykorzystywania energii mikrofalowej na każdym etapie syntezy: </w:t>
            </w:r>
            <w:proofErr w:type="spell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deprotekcja</w:t>
            </w:r>
            <w:proofErr w:type="spell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, sprzęganie aminokwasów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Komora reaktora zabezpieczona wymienną wkładką umożliwiającą szybkie czyszczenia w wypadku uszkodzenia naczynia reakcyjnego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Wbudowana kamera do podglądu naczynia reakcyjnego w trakcie procesu syntezy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Wszystkie niezbędne elementy umożliwiające rozpoczęcie pracy po instalacji (pojemniki na odczynniki, pojemniki na aminokwasy, filtry, </w:t>
            </w:r>
            <w:r w:rsidRPr="00AE24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złączki, przewody podłączeniowe)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Oprogramowanie sterujące pracą syntezatora z wbudowanymi procedurami dla różnych </w:t>
            </w:r>
            <w:proofErr w:type="spell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syntezy wraz z jednostką sterującą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Możliwość programowania dedykowanych układów aminokwasów i reagentów w celu łatwego wykorzystania aminokwasów nienaturalnych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Zbiornik na ścieki o </w:t>
            </w:r>
            <w:proofErr w:type="gram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pojemności co</w:t>
            </w:r>
            <w:proofErr w:type="gram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najmniej 6L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Moduł umożliwiający automatyczną zmianę </w:t>
            </w:r>
            <w:proofErr w:type="gram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żywic co</w:t>
            </w:r>
            <w:proofErr w:type="gramEnd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 najmniej 12 stanowiskowy sterowany z oprogramowania syntezatora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Wykonawca przeprowadzi syntezę przykładowego peptydu, której powodzenie będzie warunkiem podpisania protokołu odbioru</w:t>
            </w:r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426">
              <w:rPr>
                <w:rFonts w:asciiTheme="minorHAnsi" w:hAnsiTheme="minorHAnsi" w:cstheme="minorHAnsi"/>
                <w:sz w:val="20"/>
                <w:szCs w:val="20"/>
              </w:rPr>
              <w:t xml:space="preserve">Zasilanie 230V, 50 </w:t>
            </w:r>
            <w:proofErr w:type="spellStart"/>
            <w:r w:rsidRPr="00AE242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2426" w:rsidTr="00AE2426">
        <w:tc>
          <w:tcPr>
            <w:tcW w:w="526" w:type="dxa"/>
            <w:vAlign w:val="center"/>
          </w:tcPr>
          <w:p w:rsidR="00AE2426" w:rsidRDefault="00AE2426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</w:tcPr>
          <w:p w:rsidR="00AE2426" w:rsidRPr="00AE2426" w:rsidRDefault="00AE2426" w:rsidP="00586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nie mniej niż 12 miesięcy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AE2426" w:rsidRDefault="00AE2426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67EF5" w:rsidRPr="004754C9" w:rsidRDefault="00267EF5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6" w:rsidRDefault="009D0EE6" w:rsidP="000D7FA9">
      <w:pPr>
        <w:spacing w:after="0" w:line="240" w:lineRule="auto"/>
      </w:pPr>
      <w:r>
        <w:separator/>
      </w:r>
    </w:p>
  </w:endnote>
  <w:endnote w:type="continuationSeparator" w:id="0">
    <w:p w:rsidR="009D0EE6" w:rsidRDefault="009D0EE6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6" w:rsidRDefault="009D0EE6" w:rsidP="000D7FA9">
      <w:pPr>
        <w:spacing w:after="0" w:line="240" w:lineRule="auto"/>
      </w:pPr>
      <w:r>
        <w:separator/>
      </w:r>
    </w:p>
  </w:footnote>
  <w:footnote w:type="continuationSeparator" w:id="0">
    <w:p w:rsidR="009D0EE6" w:rsidRDefault="009D0EE6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287B10" wp14:editId="4005CBBC">
                <wp:extent cx="478155" cy="444500"/>
                <wp:effectExtent l="0" t="0" r="0" b="0"/>
                <wp:docPr id="2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2004AB" w:rsidP="00422490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>
            <w:rPr>
              <w:b/>
              <w:bCs/>
              <w:sz w:val="20"/>
              <w:szCs w:val="20"/>
            </w:rPr>
            <w:t>APARATURA</w:t>
          </w:r>
          <w:r w:rsidR="00AE2426"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t xml:space="preserve"> PN 04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965CA9B" wp14:editId="111A77F3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468"/>
    <w:multiLevelType w:val="hybridMultilevel"/>
    <w:tmpl w:val="096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30"/>
  </w:num>
  <w:num w:numId="8">
    <w:abstractNumId w:val="2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1"/>
  </w:num>
  <w:num w:numId="26">
    <w:abstractNumId w:val="29"/>
  </w:num>
  <w:num w:numId="27">
    <w:abstractNumId w:val="15"/>
  </w:num>
  <w:num w:numId="28">
    <w:abstractNumId w:val="32"/>
  </w:num>
  <w:num w:numId="29">
    <w:abstractNumId w:val="20"/>
  </w:num>
  <w:num w:numId="30">
    <w:abstractNumId w:val="10"/>
  </w:num>
  <w:num w:numId="31">
    <w:abstractNumId w:val="28"/>
  </w:num>
  <w:num w:numId="32">
    <w:abstractNumId w:val="13"/>
  </w:num>
  <w:num w:numId="33">
    <w:abstractNumId w:val="3"/>
  </w:num>
  <w:num w:numId="34">
    <w:abstractNumId w:val="23"/>
  </w:num>
  <w:num w:numId="35">
    <w:abstractNumId w:val="26"/>
  </w:num>
  <w:num w:numId="36">
    <w:abstractNumId w:val="12"/>
  </w:num>
  <w:num w:numId="37">
    <w:abstractNumId w:val="18"/>
  </w:num>
  <w:num w:numId="38">
    <w:abstractNumId w:val="16"/>
  </w:num>
  <w:num w:numId="39">
    <w:abstractNumId w:val="2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004AB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0EE6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20C6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2426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1429"/>
    <w:rsid w:val="00D10372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BB84-8820-4238-90FC-AD6FFDD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A.Mądry</cp:lastModifiedBy>
  <cp:revision>7</cp:revision>
  <cp:lastPrinted>2015-10-29T11:20:00Z</cp:lastPrinted>
  <dcterms:created xsi:type="dcterms:W3CDTF">2021-02-25T09:07:00Z</dcterms:created>
  <dcterms:modified xsi:type="dcterms:W3CDTF">2021-04-13T15:00:00Z</dcterms:modified>
</cp:coreProperties>
</file>